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Canslim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yield    </w:t>
      </w:r>
      <w:r>
        <w:t xml:space="preserve">   Risk    </w:t>
      </w:r>
      <w:r>
        <w:t xml:space="preserve">   Marketdirection    </w:t>
      </w:r>
      <w:r>
        <w:t xml:space="preserve">   Institutionalsponsorship    </w:t>
      </w:r>
      <w:r>
        <w:t xml:space="preserve">   Laggard    </w:t>
      </w:r>
      <w:r>
        <w:t xml:space="preserve">   Leader    </w:t>
      </w:r>
      <w:r>
        <w:t xml:space="preserve">   Demand    </w:t>
      </w:r>
      <w:r>
        <w:t xml:space="preserve">   Supply    </w:t>
      </w:r>
      <w:r>
        <w:t xml:space="preserve">   Newfactor    </w:t>
      </w:r>
      <w:r>
        <w:t xml:space="preserve">   AnnualEarnings    </w:t>
      </w:r>
      <w:r>
        <w:t xml:space="preserve">   CurrentEarnings    </w:t>
      </w:r>
      <w:r>
        <w:t xml:space="preserve">   Canslim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Canslim</dc:title>
  <dcterms:created xsi:type="dcterms:W3CDTF">2021-10-11T02:52:13Z</dcterms:created>
  <dcterms:modified xsi:type="dcterms:W3CDTF">2021-10-11T02:52:13Z</dcterms:modified>
</cp:coreProperties>
</file>