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 Section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Public Transfer Payments    </w:t>
      </w:r>
      <w:r>
        <w:t xml:space="preserve">   Transfer Payments    </w:t>
      </w:r>
      <w:r>
        <w:t xml:space="preserve">   Negative Externality    </w:t>
      </w:r>
      <w:r>
        <w:t xml:space="preserve">   Externality    </w:t>
      </w:r>
      <w:r>
        <w:t xml:space="preserve">   Infrastructure    </w:t>
      </w:r>
      <w:r>
        <w:t xml:space="preserve">   Free Rider    </w:t>
      </w:r>
      <w:r>
        <w:t xml:space="preserve">   Public Goods    </w:t>
      </w:r>
      <w:r>
        <w:t xml:space="preserve">   Market Failure    </w:t>
      </w:r>
      <w:r>
        <w:t xml:space="preserve">   Positive Externality    </w:t>
      </w:r>
      <w:r>
        <w:t xml:space="preserve">   Subsidy    </w:t>
      </w:r>
      <w:r>
        <w:t xml:space="preserve">   Safety 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Section 3</dc:title>
  <dcterms:created xsi:type="dcterms:W3CDTF">2021-10-11T03:26:09Z</dcterms:created>
  <dcterms:modified xsi:type="dcterms:W3CDTF">2021-10-11T03:26:09Z</dcterms:modified>
</cp:coreProperties>
</file>