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Choice Board by BalaGovind 8C</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A diverse group of aquatic organisms that have the ability to conduct photosynthesis, it also reproduces very quick.</w:t>
            </w:r>
          </w:p>
          <w:p>
            <w:pPr>
              <w:keepLines/>
              <w:pStyle w:val="CluesTiny"/>
            </w:pPr>
            <w:r>
              <w:rPr>
                <w:b w:val="true"/>
                <w:bCs w:val="true"/>
              </w:rPr>
              <w:t xml:space="preserve">7. </w:t>
            </w:r>
            <w:r>
              <w:t xml:space="preserve">A type of antimicrobial substance active against bacteria. It is the most important type of antibacterial agent for fighting bacterial infections,</w:t>
            </w:r>
          </w:p>
          <w:p>
            <w:pPr>
              <w:keepLines/>
              <w:pStyle w:val="CluesTiny"/>
            </w:pPr>
            <w:r>
              <w:rPr>
                <w:b w:val="true"/>
                <w:bCs w:val="true"/>
              </w:rPr>
              <w:t xml:space="preserve">8. </w:t>
            </w:r>
            <w:r>
              <w:t xml:space="preserve">An organism that decomposes, or breaks down, organic material such as the remains of dead organisms, include bacteria and fungi</w:t>
            </w:r>
          </w:p>
          <w:p>
            <w:pPr>
              <w:keepLines/>
              <w:pStyle w:val="CluesTiny"/>
            </w:pPr>
            <w:r>
              <w:rPr>
                <w:b w:val="true"/>
                <w:bCs w:val="true"/>
              </w:rPr>
              <w:t xml:space="preserve">9. </w:t>
            </w:r>
            <w:r>
              <w:t xml:space="preserve">Microorganism which antibiotics is used for.</w:t>
            </w:r>
          </w:p>
          <w:p>
            <w:pPr>
              <w:keepLines/>
              <w:pStyle w:val="CluesTiny"/>
            </w:pPr>
            <w:r>
              <w:rPr>
                <w:b w:val="true"/>
                <w:bCs w:val="true"/>
              </w:rPr>
              <w:t xml:space="preserve">10. </w:t>
            </w:r>
            <w:r>
              <w:t xml:space="preserve">Bacteria found in milk and yoghurt </w:t>
            </w:r>
          </w:p>
        </w:tc>
        <w:tc>
          <w:p>
            <w:pPr>
              <w:pStyle w:val="CluesTiny"/>
            </w:pPr>
            <w:r>
              <w:rPr>
                <w:b w:val="true"/>
                <w:bCs w:val="true"/>
              </w:rPr>
              <w:t xml:space="preserve">Down</w:t>
            </w:r>
          </w:p>
          <w:p>
            <w:pPr>
              <w:keepLines/>
              <w:pStyle w:val="CluesTiny"/>
            </w:pPr>
            <w:r>
              <w:rPr>
                <w:b w:val="true"/>
                <w:bCs w:val="true"/>
              </w:rPr>
              <w:t xml:space="preserve">1. </w:t>
            </w:r>
            <w:r>
              <w:t xml:space="preserve">A genus of bacteria associated with the formation of root nodules on plants. These bacteria live in symbiosis with legumes. They take in nitrogen from the atmosphere and pass it on to the plant, allowing it to grow in soil low in nitrogen.</w:t>
            </w:r>
          </w:p>
          <w:p>
            <w:pPr>
              <w:keepLines/>
              <w:pStyle w:val="CluesTiny"/>
            </w:pPr>
            <w:r>
              <w:rPr>
                <w:b w:val="true"/>
                <w:bCs w:val="true"/>
              </w:rPr>
              <w:t xml:space="preserve">2. </w:t>
            </w:r>
            <w:r>
              <w:t xml:space="preserve">An organism that lives on or in a host organism and gets its food from or at the expense of its host.</w:t>
            </w:r>
          </w:p>
          <w:p>
            <w:pPr>
              <w:keepLines/>
              <w:pStyle w:val="CluesTiny"/>
            </w:pPr>
            <w:r>
              <w:rPr>
                <w:b w:val="true"/>
                <w:bCs w:val="true"/>
              </w:rPr>
              <w:t xml:space="preserve">3. </w:t>
            </w:r>
            <w:r>
              <w:t xml:space="preserve">A thing made from weak or inactive viruses.</w:t>
            </w:r>
          </w:p>
          <w:p>
            <w:pPr>
              <w:keepLines/>
              <w:pStyle w:val="CluesTiny"/>
            </w:pPr>
            <w:r>
              <w:rPr>
                <w:b w:val="true"/>
                <w:bCs w:val="true"/>
              </w:rPr>
              <w:t xml:space="preserve">4. </w:t>
            </w:r>
            <w:r>
              <w:t xml:space="preserve">A fungi which grows on your backyard if the wood contains moisture.</w:t>
            </w:r>
          </w:p>
          <w:p>
            <w:pPr>
              <w:keepLines/>
              <w:pStyle w:val="CluesTiny"/>
            </w:pPr>
            <w:r>
              <w:rPr>
                <w:b w:val="true"/>
                <w:bCs w:val="true"/>
              </w:rPr>
              <w:t xml:space="preserve">6. </w:t>
            </w:r>
            <w:r>
              <w:t xml:space="preserve">Microorganism good for agriculture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Board by BalaGovind 8C</dc:title>
  <dcterms:created xsi:type="dcterms:W3CDTF">2021-10-11T03:49:39Z</dcterms:created>
  <dcterms:modified xsi:type="dcterms:W3CDTF">2021-10-11T03:49:39Z</dcterms:modified>
</cp:coreProperties>
</file>