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 3: Learning aim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storage    </w:t>
      </w:r>
      <w:r>
        <w:t xml:space="preserve">   availability    </w:t>
      </w:r>
      <w:r>
        <w:t xml:space="preserve">   stakeholder    </w:t>
      </w:r>
      <w:r>
        <w:t xml:space="preserve">   alttext    </w:t>
      </w:r>
      <w:r>
        <w:t xml:space="preserve">   notification    </w:t>
      </w:r>
      <w:r>
        <w:t xml:space="preserve">   cloud    </w:t>
      </w:r>
      <w:r>
        <w:t xml:space="preserve">   blackspot    </w:t>
      </w:r>
      <w:r>
        <w:t xml:space="preserve">   personal hotspot    </w:t>
      </w:r>
      <w:r>
        <w:t xml:space="preserve">   tethering    </w:t>
      </w:r>
      <w:r>
        <w:t xml:space="preserve">   WiFi    </w:t>
      </w:r>
      <w:r>
        <w:t xml:space="preserve">   network    </w:t>
      </w:r>
      <w:r>
        <w:t xml:space="preserve">   Ad hoc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 3: Learning aim A</dc:title>
  <dcterms:created xsi:type="dcterms:W3CDTF">2021-10-11T04:30:21Z</dcterms:created>
  <dcterms:modified xsi:type="dcterms:W3CDTF">2021-10-11T04:30:21Z</dcterms:modified>
</cp:coreProperties>
</file>