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<w:background w:color="FFFFFF"/><w:body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/w:tblPr><w:tblGrid><w:gridCol w:w="100"/><w:gridCol w:w="100"/></w:tblGrid><w:tr><w:tc><w:p><w:pPr><w:pStyle w:val="NameDatePeriod"/></w:pPr><w:r><w:t xml:space="preserve">Name: ___________________________________</w:t></w:r></w:p></w:tc><w:tc><w:p><w:pPr><w:jc w:val="right"/><w:pStyle w:val="NameDatePeriod"/></w:pPr><w:r><w:t xml:space="preserve">Date: ______________</w:t></w:r></w:p></w:tc></w:tr></w:tbl><w:p><w:pPr><w:pStyle w:val="PuzzleTitle"/></w:pPr><w:r><w:t xml:space="preserve">Ekonometrijos namu darbas</w:t></w:r></w:p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w:tblLayout w:type="fixed"/><w:jc w:val="center"/></w:tblPr><w:tblGrid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/w:tblGrid><w:tr><w:trPr><w:trHeight w:val="300" w:hRule="atLeast"/></w:trPr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</w:t></w:r></w:p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2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><w:pPr><w:pStyle w:val="CrossgridTiny"/></w:pPr><w:r><w:t xml:space="preserve">3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4</w:t></w:r></w:p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5</w:t></w:r></w:p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6</w:t></w:r></w:p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7</w:t></w:r></w:p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8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9</w:t></w:r></w:p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10</w:t></w:r></w:p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11</w:t></w:r></w:p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12</w:t></w:r></w:p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13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14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15</w:t></w:r></w:p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tcPr><w:tcBorders><w:top w:val="single"/><w:bottom w:val="single"/><w:left w:val="single"/><w:right w:val="single"/></w:tcBorders><w:vAlign w:val="top"/></w:tcPr><w:p><w:pPr><w:pStyle w:val="CrossgridTiny"/></w:pPr><w:r><w:t xml:space="preserve">16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17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shd w:fill="aaaaaa" w:val="solid" w:color="auto"/></w:tcPr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18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19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20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21</w:t></w:r></w:p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22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23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24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/w:tr><w:tr><w:trPr><w:trHeight w:val="300" w:hRule="atLeast"/></w:trPr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300" w:hRule="atLeast"/></w:trPr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Tiny"/></w:pPr><w:r><w:t xml:space="preserve">25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/w:tr></w:tbl><w:p><w:pPr><w:pStyle w:val="CluesTiny"/></w:pPr><w:r/></w:p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w:tblLayout w:type="fixed"/><w:jc w:val="center"/></w:tblPr><w:tblGrid><w:gridCol w:w="100"/><w:gridCol w:w="100"/></w:tblGrid><w:tr><w:tc><w:p><w:pPr><w:pStyle w:val="CluesTiny"/></w:pPr><w:r><w:rPr><w:b w:val="true"/><w:bCs w:val="true"/></w:rPr><w:t xml:space="preserve">Across</w:t></w:r></w:p><w:p><w:pPr><w:keepLines/><w:pStyle w:val="CluesTiny"/></w:pPr><w:r><w:rPr><w:b w:val="true"/><w:bCs w:val="true"/></w:rPr><w:t xml:space="preserve">2. </w:t></w:r><w:r><w:t xml:space="preserve">Modelis kuriame paklaidos nekoreliuotos, bet nepastovi dispersija</w:t></w:r></w:p><w:p><w:pPr><w:keepLines/><w:pStyle w:val="CluesTiny"/></w:pPr><w:r><w:rPr><w:b w:val="true"/><w:bCs w:val="true"/></w:rPr><w:t xml:space="preserve">8. </w:t></w:r><w:r><w:t xml:space="preserve">Atsitiktinis procesas, kurio tikimybinės charakteristikos laike nekinta yra vadinamas</w:t></w:r></w:p><w:p><w:pPr><w:keepLines/><w:pStyle w:val="CluesTiny"/></w:pPr><w:r><w:rPr><w:b w:val="true"/><w:bCs w:val="true"/></w:rPr><w:t xml:space="preserve">13. </w:t></w:r><w:r><w:t xml:space="preserve">Reguliarūs svyravimai, vykstantys metų laikotarpyje.</w:t></w:r></w:p><w:p><w:pPr><w:keepLines/><w:pStyle w:val="CluesTiny"/></w:pPr><w:r><w:rPr><w:b w:val="true"/><w:bCs w:val="true"/></w:rPr><w:t xml:space="preserve">14. </w:t></w:r><w:r><w:t xml:space="preserve">Kvadratinė paklaidų suma</w:t></w:r></w:p><w:p><w:pPr><w:keepLines/><w:pStyle w:val="CluesTiny"/></w:pPr><w:r><w:rPr><w:b w:val="true"/><w:bCs w:val="true"/></w:rPr><w:t xml:space="preserve">16. </w:t></w:r><w:r><w:t xml:space="preserve">Netipinės ir retos reikšmės, kurios yra žymiai nukrypusios nuo kitų duomenų pasiskirstymo</w:t></w:r></w:p><w:p><w:pPr><w:keepLines/><w:pStyle w:val="CluesTiny"/></w:pPr><w:r><w:rPr><w:b w:val="true"/><w:bCs w:val="true"/></w:rPr><w:t xml:space="preserve">17. </w:t></w:r><w:r><w:t xml:space="preserve">Statistinis ryšys tarp kintamųjų</w:t></w:r></w:p><w:p><w:pPr><w:keepLines/><w:pStyle w:val="CluesTiny"/></w:pPr><w:r><w:rPr><w:b w:val="true"/><w:bCs w:val="true"/></w:rPr><w:t xml:space="preserve">18. </w:t></w:r><w:r><w:t xml:space="preserve">Kvantiliai, dalijantys variacinę eilutę į keturias dalis po 25%, vadinami</w:t></w:r></w:p><w:p><w:pPr><w:keepLines/><w:pStyle w:val="CluesTiny"/></w:pPr><w:r><w:rPr><w:b w:val="true"/><w:bCs w:val="true"/></w:rPr><w:t xml:space="preserve">19. </w:t></w:r><w:r><w:t xml:space="preserve">Tendencija, kuri yra išreiškiama tam tikra matematine funkcija, kuri vadinama ..</w:t></w:r></w:p><w:p><w:pPr><w:keepLines/><w:pStyle w:val="CluesTiny"/></w:pPr><w:r><w:rPr><w:b w:val="true"/><w:bCs w:val="true"/></w:rPr><w:t xml:space="preserve">20. </w:t></w:r><w:r><w:t xml:space="preserve">Modelis, kuriame laiko eilutė pateikiama kaip paminėtų komponenčių suma</w:t></w:r></w:p><w:p><w:pPr><w:keepLines/><w:pStyle w:val="CluesTiny"/></w:pPr><w:r><w:rPr><w:b w:val="true"/><w:bCs w:val="true"/></w:rPr><w:t xml:space="preserve">22. </w:t></w:r><w:r><w:t xml:space="preserve">Statistinis modelis leidžiantis vieno kintamojo reikšmes prognozuoti pagal kito kintamojo reikšmes</w:t></w:r></w:p><w:p><w:pPr><w:keepLines/><w:pStyle w:val="CluesTiny"/></w:pPr><w:r><w:rPr><w:b w:val="true"/><w:bCs w:val="true"/></w:rPr><w:t xml:space="preserve">23. </w:t></w:r><w:r><w:t xml:space="preserve">... analizė sprendžia klausimą ar ryšys tarp kintamųjų egzistuoja ir ar jis reikšmingas</w:t></w:r></w:p><w:p><w:pPr><w:keepLines/><w:pStyle w:val="CluesTiny"/></w:pPr><w:r><w:rPr><w:b w:val="true"/><w:bCs w:val="true"/></w:rPr><w:t xml:space="preserve">24. </w:t></w:r><w:r><w:t xml:space="preserve">... svyravimus paprastai galima pastebėti per ilgesnį laikotarpį, dažniausiai jiems būdingas ne staigus, o daugiau ar mažiau tolygus perėjimas iš vienos fazės į kitą</w:t></w:r></w:p><w:p><w:pPr><w:keepLines/><w:pStyle w:val="CluesTiny"/></w:pPr><w:r><w:rPr><w:b w:val="true"/><w:bCs w:val="true"/></w:rPr><w:t xml:space="preserve">25. </w:t></w:r><w:r><w:t xml:space="preserve">Paklaidų normalumas tikrinamas ... testu</w:t></w:r></w:p></w:tc><w:tc><w:p><w:pPr><w:pStyle w:val="CluesTiny"/></w:pPr><w:r><w:rPr><w:b w:val="true"/><w:bCs w:val="true"/></w:rPr><w:t xml:space="preserve">Down</w:t></w:r></w:p><w:p><w:pPr><w:keepLines/><w:pStyle w:val="CluesTiny"/></w:pPr><w:r><w:rPr><w:b w:val="true"/><w:bCs w:val="true"/></w:rPr><w:t xml:space="preserve">1. </w:t></w:r><w:r><w:t xml:space="preserve">Statistinio įvertinimo tikslumą ir patikimumą nustato</w:t></w:r></w:p><w:p><w:pPr><w:keepLines/><w:pStyle w:val="CluesTiny"/></w:pPr><w:r><w:rPr><w:b w:val="true"/><w:bCs w:val="true"/></w:rPr><w:t xml:space="preserve">3. </w:t></w:r><w:r><w:t xml:space="preserve">Matas, leidžiantis nustatyti išskirtis tiesinėje regresijoje</w:t></w:r></w:p><w:p><w:pPr><w:keepLines/><w:pStyle w:val="CluesTiny"/></w:pPr><w:r><w:rPr><w:b w:val="true"/><w:bCs w:val="true"/></w:rPr><w:t xml:space="preserve">4. </w:t></w:r><w:r><w:t xml:space="preserve">... koeficientas yra vienas iš tiesines regresijos tinkamumo  rodikliu ir, paprastosios tiesines regresijos atveju, sutampa su koreliacijos  koeficiento kvadratu.</w:t></w:r></w:p><w:p><w:pPr><w:keepLines/><w:pStyle w:val="CluesTiny"/></w:pPr><w:r><w:rPr><w:b w:val="true"/><w:bCs w:val="true"/></w:rPr><w:t xml:space="preserve">5. </w:t></w:r><w:r><w:t xml:space="preserve">Dispersijos pastovumas</w:t></w:r></w:p><w:p><w:pPr><w:keepLines/><w:pStyle w:val="CluesTiny"/></w:pPr><w:r><w:rPr><w:b w:val="true"/><w:bCs w:val="true"/></w:rPr><w:t xml:space="preserve">6. </w:t></w:r><w:r><w:t xml:space="preserve">Autoregresyvus integruotas slenkančių vidurkių metodas, kuris yra taikomas duomenų prognozavimui</w:t></w:r></w:p><w:p><w:pPr><w:keepLines/><w:pStyle w:val="CluesTiny"/></w:pPr><w:r><w:rPr><w:b w:val="true"/><w:bCs w:val="true"/></w:rPr><w:t xml:space="preserve">7. </w:t></w:r><w:r><w:t xml:space="preserve">Išsibarstymas arba nuokrypis nuo vidurkio</w:t></w:r></w:p><w:p><w:pPr><w:keepLines/><w:pStyle w:val="CluesTiny"/></w:pPr><w:r><w:rPr><w:b w:val="true"/><w:bCs w:val="true"/></w:rPr><w:t xml:space="preserve">9. </w:t></w:r><w:r><w:t xml:space="preserve">tai duomenų seka, gauta matuojant kintamojo X reikšmes reguliariais(vienodais) laiko intervalais</w:t></w:r></w:p><w:p><w:pPr><w:keepLines/><w:pStyle w:val="CluesTiny"/></w:pPr><w:r><w:rPr><w:b w:val="true"/><w:bCs w:val="true"/></w:rPr><w:t xml:space="preserve">10. </w:t></w:r><w:r><w:t xml:space="preserve">Modelis, kuriame laiko eilutė pateikiama kaip komponenčių sandauga</w:t></w:r></w:p><w:p><w:pPr><w:keepLines/><w:pStyle w:val="CluesTiny"/></w:pPr><w:r><w:rPr><w:b w:val="true"/><w:bCs w:val="true"/></w:rPr><w:t xml:space="preserve">11. </w:t></w:r><w:r><w:t xml:space="preserve">Mokslas, tiriantis kiekybinius ekonominių procesų dėsningumus bei kintamųjų tarpusavio priklausomybes, siekiant prognozuoti šių procesų vystymąsi</w:t></w:r></w:p><w:p><w:pPr><w:keepLines/><w:pStyle w:val="CluesTiny"/></w:pPr><w:r><w:rPr><w:b w:val="true"/><w:bCs w:val="true"/></w:rPr><w:t xml:space="preserve">12. </w:t></w:r><w:r><w:t xml:space="preserve">Charakteristika, dalinanti variacinę eilutę į q ir (1 – q) dalis</w:t></w:r></w:p><w:p><w:pPr><w:keepLines/><w:pStyle w:val="CluesTiny"/></w:pPr><w:r><w:rPr><w:b w:val="true"/><w:bCs w:val="true"/></w:rPr><w:t xml:space="preserve">15. </w:t></w:r><w:r><w:t xml:space="preserve">... koeficientas plačiai naudojamas kaip regresijos modelio tinkamumo indikatorius</w:t></w:r></w:p><w:p><w:pPr><w:keepLines/><w:pStyle w:val="CluesTiny"/></w:pPr><w:r><w:rPr><w:b w:val="true"/><w:bCs w:val="true"/></w:rPr><w:t xml:space="preserve">21. </w:t></w:r><w:r><w:t xml:space="preserve">Tokia reikšmė, kurios tikimybė didžiausia. </w:t></w:r></w:p></w:tc></w:tr></w:tbl><w:sectPr><w:pgSz w:w="11906" w:h="16838" w:orient="portrait"/><w:pgMar w:top="1440" w:right="1440" w:bottom="1440" w:left="1440" w:header="708" w:footer="708" w:gutter="0" w:mirrorMargins="false"/><w:cols w:space="708" w:num="1"/><w:docGrid w:linePitch="360"/><w:headerReference w:type="default" r:id="rId5"/><w:footerReference w:type="default" r:id="rId6"/></w:sectPr></w:body>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Ekonometrijos namu darbas</dc:title>
  <dcterms:created xsi:type="dcterms:W3CDTF">2021-10-12T14:13:58Z</dcterms:created>
  <dcterms:modified xsi:type="dcterms:W3CDTF">2021-10-12T14:13:58Z</dcterms:modified>
</cp:coreProperties>
</file>