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End Of Year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an individual animal, plant, or single-celled life form.</w:t>
            </w:r>
          </w:p>
          <w:p>
            <w:pPr>
              <w:keepLines/>
              <w:pStyle w:val="CluesTiny"/>
            </w:pPr>
            <w:r>
              <w:rPr>
                <w:b w:val="true"/>
                <w:bCs w:val="true"/>
              </w:rPr>
              <w:t xml:space="preserve">5. </w:t>
            </w:r>
            <w:r>
              <w:t xml:space="preserve">a system of interlocking and interdependent food chains.</w:t>
            </w:r>
          </w:p>
          <w:p>
            <w:pPr>
              <w:keepLines/>
              <w:pStyle w:val="CluesTiny"/>
            </w:pPr>
            <w:r>
              <w:rPr>
                <w:b w:val="true"/>
                <w:bCs w:val="true"/>
              </w:rPr>
              <w:t xml:space="preserve">7. </w:t>
            </w:r>
            <w:r>
              <w:t xml:space="preserve">a group of living organisms consisting of similar individuals capable of exchanging genes or interbreeding. The species is the principal natural taxonomic unit, ranking below a genus and denoted by a Latin binomial, e.g. Homo sapiens.</w:t>
            </w:r>
          </w:p>
          <w:p>
            <w:pPr>
              <w:keepLines/>
              <w:pStyle w:val="CluesTiny"/>
            </w:pPr>
            <w:r>
              <w:rPr>
                <w:b w:val="true"/>
                <w:bCs w:val="true"/>
              </w:rPr>
              <w:t xml:space="preserve">8. </w:t>
            </w:r>
            <w:r>
              <w:t xml:space="preserve">a person, company, or country that makes, grows, or supplies goods or commodities for sale.</w:t>
            </w:r>
          </w:p>
          <w:p>
            <w:pPr>
              <w:keepLines/>
              <w:pStyle w:val="CluesTiny"/>
            </w:pPr>
            <w:r>
              <w:rPr>
                <w:b w:val="true"/>
                <w:bCs w:val="true"/>
              </w:rPr>
              <w:t xml:space="preserve">9. </w:t>
            </w:r>
            <w:r>
              <w:t xml:space="preserve">the action or process of adapting or being adapted.</w:t>
            </w:r>
          </w:p>
          <w:p>
            <w:pPr>
              <w:keepLines/>
              <w:pStyle w:val="CluesTiny"/>
            </w:pPr>
            <w:r>
              <w:rPr>
                <w:b w:val="true"/>
                <w:bCs w:val="true"/>
              </w:rPr>
              <w:t xml:space="preserve">10. </w:t>
            </w:r>
            <w:r>
              <w:t xml:space="preserve">a biological community of interacting organisms and their physical environment.</w:t>
            </w:r>
          </w:p>
        </w:tc>
        <w:tc>
          <w:p>
            <w:pPr>
              <w:pStyle w:val="CluesTiny"/>
            </w:pPr>
            <w:r>
              <w:rPr>
                <w:b w:val="true"/>
                <w:bCs w:val="true"/>
              </w:rPr>
              <w:t xml:space="preserve">Down</w:t>
            </w:r>
          </w:p>
          <w:p>
            <w:pPr>
              <w:keepLines/>
              <w:pStyle w:val="CluesTiny"/>
            </w:pPr>
            <w:r>
              <w:rPr>
                <w:b w:val="true"/>
                <w:bCs w:val="true"/>
              </w:rPr>
              <w:t xml:space="preserve">1. </w:t>
            </w:r>
            <w:r>
              <w:t xml:space="preserve">any kind of living organism—an amphibian (like the cane toad), plant, insect, fish, fungus, bacteria, or even an organism's seeds or eggs—that is not native to an ecosystem and causes harm.</w:t>
            </w:r>
          </w:p>
          <w:p>
            <w:pPr>
              <w:keepLines/>
              <w:pStyle w:val="CluesTiny"/>
            </w:pPr>
            <w:r>
              <w:rPr>
                <w:b w:val="true"/>
                <w:bCs w:val="true"/>
              </w:rPr>
              <w:t xml:space="preserve">2. </w:t>
            </w:r>
            <w:r>
              <w:t xml:space="preserve">a hierarchical series of organisms each dependent on the next as a source of food.</w:t>
            </w:r>
          </w:p>
          <w:p>
            <w:pPr>
              <w:keepLines/>
              <w:pStyle w:val="CluesTiny"/>
            </w:pPr>
            <w:r>
              <w:rPr>
                <w:b w:val="true"/>
                <w:bCs w:val="true"/>
              </w:rPr>
              <w:t xml:space="preserve">3. </w:t>
            </w:r>
            <w:r>
              <w:t xml:space="preserve">an animal that naturally preys on others.</w:t>
            </w:r>
          </w:p>
          <w:p>
            <w:pPr>
              <w:keepLines/>
              <w:pStyle w:val="CluesTiny"/>
            </w:pPr>
            <w:r>
              <w:rPr>
                <w:b w:val="true"/>
                <w:bCs w:val="true"/>
              </w:rPr>
              <w:t xml:space="preserve">6. </w:t>
            </w:r>
            <w:r>
              <w:t xml:space="preserve">an animal that is hunted and killed by another for food.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Crossword</dc:title>
  <dcterms:created xsi:type="dcterms:W3CDTF">2021-10-11T06:16:28Z</dcterms:created>
  <dcterms:modified xsi:type="dcterms:W3CDTF">2021-10-11T06:16:29Z</dcterms:modified>
</cp:coreProperties>
</file>