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F&amp;BM 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Estimating    </w:t>
      </w:r>
      <w:r>
        <w:t xml:space="preserve">   Planning    </w:t>
      </w:r>
      <w:r>
        <w:t xml:space="preserve">   Reporting    </w:t>
      </w:r>
      <w:r>
        <w:t xml:space="preserve">   Compliance    </w:t>
      </w:r>
      <w:r>
        <w:t xml:space="preserve">   Accounts    </w:t>
      </w:r>
      <w:r>
        <w:t xml:space="preserve">   Commercial    </w:t>
      </w:r>
      <w:r>
        <w:t xml:space="preserve">   Supplychain    </w:t>
      </w:r>
      <w:r>
        <w:t xml:space="preserve">   Finance    </w:t>
      </w:r>
      <w:r>
        <w:t xml:space="preserve">   Pegasus    </w:t>
      </w:r>
      <w:r>
        <w:t xml:space="preserve">   Ozone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F&amp;BM June</dc:title>
  <dcterms:created xsi:type="dcterms:W3CDTF">2021-10-11T06:41:39Z</dcterms:created>
  <dcterms:modified xsi:type="dcterms:W3CDTF">2021-10-11T06:41:39Z</dcterms:modified>
</cp:coreProperties>
</file>