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Chapter 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that bounded  by the Ohio and Mississippi River and the Great Lakes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treaty with Spain allowing U.S. commerical use of the Mississppi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revolution overthrowing the government in France that ened in violence and mass executions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Stirring up rebellion against a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Series of four laws enacted in 1798 to reduce the political power of recent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agreement that ended the dispute with Britian over American shipping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idea that states have certain rights that federal government cannot overrule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formally swear in or induct into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immigrants who are not yet citizens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portest in 1974 against the government's tax on whiskey by backcountry farmers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first chief justice of the U.S.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not siding with any other country in dispute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incident in which French officals demanded a brbie from U.S. diplomats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act that passed a law by the first congress that set up lower federal courts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1994 battle between Native Americans and American forces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Resolutions passed by Kentucky and Virginia in 1798 giving the states right to declare acts of Congress null and void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example that becomes standard practice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idea that a state could cancel a federal law within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surrender; or give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people that tries to promote its ideas nd influence governement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nations top legal officer;  The head of the Department of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 of executive department heads that serve as the president's chief advisers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tax on important goods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Relations with the government of other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Peopple who supported a strong national goverment ; and heirs to the supporters of the ratification of the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second President of the United States </w:t>
            </w:r>
          </w:p>
        </w:tc>
      </w:tr>
    </w:tbl>
    <w:p>
      <w:pPr>
        <w:pStyle w:val="WordBankLarge"/>
      </w:pPr>
      <w:r>
        <w:t xml:space="preserve">   Federal Judiciary Act     </w:t>
      </w:r>
      <w:r>
        <w:t xml:space="preserve">   John Jay    </w:t>
      </w:r>
      <w:r>
        <w:t xml:space="preserve">   Attorney General     </w:t>
      </w:r>
      <w:r>
        <w:t xml:space="preserve">   Cabinet     </w:t>
      </w:r>
      <w:r>
        <w:t xml:space="preserve">   inagurate     </w:t>
      </w:r>
      <w:r>
        <w:t xml:space="preserve">   Precedent     </w:t>
      </w:r>
      <w:r>
        <w:t xml:space="preserve">   Tariff     </w:t>
      </w:r>
      <w:r>
        <w:t xml:space="preserve">   Battle of Fallen Timbers     </w:t>
      </w:r>
      <w:r>
        <w:t xml:space="preserve">   Whiskey Rebellion     </w:t>
      </w:r>
      <w:r>
        <w:t xml:space="preserve">   French Revolution     </w:t>
      </w:r>
      <w:r>
        <w:t xml:space="preserve">   Jay's Treaty     </w:t>
      </w:r>
      <w:r>
        <w:t xml:space="preserve">   Pinckney's Treaty     </w:t>
      </w:r>
      <w:r>
        <w:t xml:space="preserve">   Cede     </w:t>
      </w:r>
      <w:r>
        <w:t xml:space="preserve">   Northwest Territory     </w:t>
      </w:r>
      <w:r>
        <w:t xml:space="preserve">   neutral    </w:t>
      </w:r>
      <w:r>
        <w:t xml:space="preserve">   John Adams    </w:t>
      </w:r>
      <w:r>
        <w:t xml:space="preserve">   XYZ Affair    </w:t>
      </w:r>
      <w:r>
        <w:t xml:space="preserve">   Alien &amp; Sedition Acts    </w:t>
      </w:r>
      <w:r>
        <w:t xml:space="preserve">   states right    </w:t>
      </w:r>
      <w:r>
        <w:t xml:space="preserve">   nullification     </w:t>
      </w:r>
      <w:r>
        <w:t xml:space="preserve">   Kentucky &amp; Virginia Resolutions     </w:t>
      </w:r>
      <w:r>
        <w:t xml:space="preserve">   Foreign Policy     </w:t>
      </w:r>
      <w:r>
        <w:t xml:space="preserve">   Political party    </w:t>
      </w:r>
      <w:r>
        <w:t xml:space="preserve">   aliens     </w:t>
      </w:r>
      <w:r>
        <w:t xml:space="preserve">   sedition     </w:t>
      </w:r>
      <w:r>
        <w:t xml:space="preserve">   Feferalists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Chapter 9 </dc:title>
  <dcterms:created xsi:type="dcterms:W3CDTF">2021-10-11T09:03:01Z</dcterms:created>
  <dcterms:modified xsi:type="dcterms:W3CDTF">2021-10-11T09:03:01Z</dcterms:modified>
</cp:coreProperties>
</file>