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 on ISA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BRANCH    </w:t>
      </w:r>
      <w:r>
        <w:t xml:space="preserve">   child trust fund    </w:t>
      </w:r>
      <w:r>
        <w:t xml:space="preserve">   EASY ACCESS    </w:t>
      </w:r>
      <w:r>
        <w:t xml:space="preserve">   FIXED RATE ISA    </w:t>
      </w:r>
      <w:r>
        <w:t xml:space="preserve">   FLEXIBLE ISA    </w:t>
      </w:r>
      <w:r>
        <w:t xml:space="preserve">   ISA ALLOWANCE    </w:t>
      </w:r>
      <w:r>
        <w:t xml:space="preserve">   ONLINE    </w:t>
      </w:r>
      <w:r>
        <w:t xml:space="preserve">   PARTIAL WITHDRAWALS    </w:t>
      </w:r>
      <w:r>
        <w:t xml:space="preserve">   PIPELINE APPLICATIONS    </w:t>
      </w:r>
      <w:r>
        <w:t xml:space="preserve">   POST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on ISA accounts</dc:title>
  <dcterms:created xsi:type="dcterms:W3CDTF">2021-10-11T10:31:30Z</dcterms:created>
  <dcterms:modified xsi:type="dcterms:W3CDTF">2021-10-11T10:31:30Z</dcterms:modified>
</cp:coreProperties>
</file>