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under- production    </w:t>
      </w:r>
      <w:r>
        <w:t xml:space="preserve">   over consumption    </w:t>
      </w:r>
      <w:r>
        <w:t xml:space="preserve">   overproduction    </w:t>
      </w:r>
      <w:r>
        <w:t xml:space="preserve">   social benefits    </w:t>
      </w:r>
      <w:r>
        <w:t xml:space="preserve">   social costs    </w:t>
      </w:r>
      <w:r>
        <w:t xml:space="preserve">   private benefits    </w:t>
      </w:r>
      <w:r>
        <w:t xml:space="preserve">   private cost    </w:t>
      </w:r>
      <w:r>
        <w:t xml:space="preserve">   external costs    </w:t>
      </w:r>
      <w:r>
        <w:t xml:space="preserve">   externalities    </w:t>
      </w:r>
      <w:r>
        <w:t xml:space="preserve">   Market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Failure</dc:title>
  <dcterms:created xsi:type="dcterms:W3CDTF">2021-10-11T11:47:19Z</dcterms:created>
  <dcterms:modified xsi:type="dcterms:W3CDTF">2021-10-11T11:47:19Z</dcterms:modified>
</cp:coreProperties>
</file>