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Mortgage Basics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adjustable rate    </w:t>
      </w:r>
      <w:r>
        <w:t xml:space="preserve">   balloon payment    </w:t>
      </w:r>
      <w:r>
        <w:t xml:space="preserve">   bankrutpcy    </w:t>
      </w:r>
      <w:r>
        <w:t xml:space="preserve">   buckets    </w:t>
      </w:r>
      <w:r>
        <w:t xml:space="preserve">   collateral    </w:t>
      </w:r>
      <w:r>
        <w:t xml:space="preserve">   collections    </w:t>
      </w:r>
      <w:r>
        <w:t xml:space="preserve">   compliance    </w:t>
      </w:r>
      <w:r>
        <w:t xml:space="preserve">   conforming    </w:t>
      </w:r>
      <w:r>
        <w:t xml:space="preserve">   deed in lieu    </w:t>
      </w:r>
      <w:r>
        <w:t xml:space="preserve">   documenting    </w:t>
      </w:r>
      <w:r>
        <w:t xml:space="preserve">   educating    </w:t>
      </w:r>
      <w:r>
        <w:t xml:space="preserve">   equity    </w:t>
      </w:r>
      <w:r>
        <w:t xml:space="preserve">   escrow    </w:t>
      </w:r>
      <w:r>
        <w:t xml:space="preserve">   fixed rate    </w:t>
      </w:r>
      <w:r>
        <w:t xml:space="preserve">   foreclosure    </w:t>
      </w:r>
      <w:r>
        <w:t xml:space="preserve">   guidelines    </w:t>
      </w:r>
      <w:r>
        <w:t xml:space="preserve">   Interest    </w:t>
      </w:r>
      <w:r>
        <w:t xml:space="preserve">   liquidation    </w:t>
      </w:r>
      <w:r>
        <w:t xml:space="preserve">   loss mitigation    </w:t>
      </w:r>
      <w:r>
        <w:t xml:space="preserve">   mortgage    </w:t>
      </w:r>
      <w:r>
        <w:t xml:space="preserve">   negotiating    </w:t>
      </w:r>
      <w:r>
        <w:t xml:space="preserve">   origination    </w:t>
      </w:r>
      <w:r>
        <w:t xml:space="preserve">   post closing    </w:t>
      </w:r>
      <w:r>
        <w:t xml:space="preserve">   processing    </w:t>
      </w:r>
      <w:r>
        <w:t xml:space="preserve">   quality    </w:t>
      </w:r>
      <w:r>
        <w:t xml:space="preserve">   refinance    </w:t>
      </w:r>
      <w:r>
        <w:t xml:space="preserve">   regulations    </w:t>
      </w:r>
      <w:r>
        <w:t xml:space="preserve">   servicing    </w:t>
      </w:r>
      <w:r>
        <w:t xml:space="preserve">   team members    </w:t>
      </w:r>
      <w:r>
        <w:t xml:space="preserve">   underwriting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Mortgage Basics</dc:title>
  <dcterms:created xsi:type="dcterms:W3CDTF">2021-10-11T12:35:58Z</dcterms:created>
  <dcterms:modified xsi:type="dcterms:W3CDTF">2021-10-11T12:35:58Z</dcterms:modified>
</cp:coreProperties>
</file>