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inflammatory    </w:t>
      </w:r>
      <w:r>
        <w:t xml:space="preserve">   glaucoma    </w:t>
      </w:r>
      <w:r>
        <w:t xml:space="preserve">   conjunctival    </w:t>
      </w:r>
      <w:r>
        <w:t xml:space="preserve">   toxicology    </w:t>
      </w:r>
      <w:r>
        <w:t xml:space="preserve">   scientific    </w:t>
      </w:r>
      <w:r>
        <w:t xml:space="preserve">   rhinitis    </w:t>
      </w:r>
      <w:r>
        <w:t xml:space="preserve">   regulatory    </w:t>
      </w:r>
      <w:r>
        <w:t xml:space="preserve">   ophthalmology    </w:t>
      </w:r>
      <w:r>
        <w:t xml:space="preserve">   formulation    </w:t>
      </w:r>
      <w:r>
        <w:t xml:space="preserve">   efficacy    </w:t>
      </w:r>
      <w:r>
        <w:t xml:space="preserve">   clinical    </w:t>
      </w:r>
      <w:r>
        <w:t xml:space="preserve">   allergy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1</dc:title>
  <dcterms:created xsi:type="dcterms:W3CDTF">2021-10-11T13:28:52Z</dcterms:created>
  <dcterms:modified xsi:type="dcterms:W3CDTF">2021-10-11T13:28:52Z</dcterms:modified>
</cp:coreProperties>
</file>