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</w:tbl>
    <w:p>
      <w:pPr>
        <w:pStyle w:val="WordBankLarge"/>
      </w:pPr>
      <w:r>
        <w:t xml:space="preserve">   con chó    </w:t>
      </w:r>
      <w:r>
        <w:t xml:space="preserve">   con sò    </w:t>
      </w:r>
      <w:r>
        <w:t xml:space="preserve">   con cò    </w:t>
      </w:r>
      <w:r>
        <w:t xml:space="preserve">   bà em    </w:t>
      </w:r>
      <w:r>
        <w:t xml:space="preserve">   sữa bò    </w:t>
      </w:r>
      <w:r>
        <w:t xml:space="preserve">   con bọ    </w:t>
      </w:r>
      <w:r>
        <w:t xml:space="preserve">   con thỏ    </w:t>
      </w:r>
      <w:r>
        <w:t xml:space="preserve">   chùm nho    </w:t>
      </w:r>
      <w:r>
        <w:t xml:space="preserve">   con bò    </w:t>
      </w:r>
      <w:r>
        <w:t xml:space="preserve">   con khỉ    </w:t>
      </w:r>
      <w:r>
        <w:t xml:space="preserve">   chị em    </w:t>
      </w:r>
      <w:r>
        <w:t xml:space="preserve">   mì nấu    </w:t>
      </w:r>
      <w:r>
        <w:t xml:space="preserve">   đi chơi    </w:t>
      </w:r>
      <w:r>
        <w:t xml:space="preserve">   bí đao    </w:t>
      </w:r>
      <w:r>
        <w:t xml:space="preserve">   cỏ cây    </w:t>
      </w:r>
      <w:r>
        <w:t xml:space="preserve">   Viên 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terms:created xsi:type="dcterms:W3CDTF">2021-10-11T15:32:26Z</dcterms:created>
  <dcterms:modified xsi:type="dcterms:W3CDTF">2021-10-11T15:32:26Z</dcterms:modified>
</cp:coreProperties>
</file>