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Skeletal System Crossword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Top end of the bone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Band of cartilage between epiphysis and diaphysis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When cartilage hardens after growth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bone forming cells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in medullary cavity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Cavity of the shaft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Covers diaphysis; fibrous connective tissue membrane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canal perpindicular to central canal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functional unit of compact bone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Bottom end of bone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Dense smooth outer layer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open spaces with in the lamellae that contain osteocytes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Covers end of long bones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Honey comb ; containg red marrow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Mature bone cells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opening in centerr of osteon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In spongy bone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bone - destroying cells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concentric circles that surround the haversian canals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Shaft; Composed of compact bine</w:t>
            </w:r>
          </w:p>
        </w:tc>
      </w:tr>
    </w:tbl>
    <w:p>
      <w:pPr>
        <w:pStyle w:val="WordBankLarge"/>
      </w:pPr>
      <w:r>
        <w:t xml:space="preserve">   Articular Cartilage    </w:t>
      </w:r>
      <w:r>
        <w:t xml:space="preserve">   Proximal Epiphysis    </w:t>
      </w:r>
      <w:r>
        <w:t xml:space="preserve">   Distal Epiphysis    </w:t>
      </w:r>
      <w:r>
        <w:t xml:space="preserve">   Diaphysis    </w:t>
      </w:r>
      <w:r>
        <w:t xml:space="preserve">   Medullary Cavity    </w:t>
      </w:r>
      <w:r>
        <w:t xml:space="preserve">   Compact bone    </w:t>
      </w:r>
      <w:r>
        <w:t xml:space="preserve">   Spongy bone    </w:t>
      </w:r>
      <w:r>
        <w:t xml:space="preserve">   Epiphyseal line    </w:t>
      </w:r>
      <w:r>
        <w:t xml:space="preserve">   epiphyseal plate    </w:t>
      </w:r>
      <w:r>
        <w:t xml:space="preserve">   Periosteum    </w:t>
      </w:r>
      <w:r>
        <w:t xml:space="preserve">   red marrow    </w:t>
      </w:r>
      <w:r>
        <w:t xml:space="preserve">   Yellow Marrow    </w:t>
      </w:r>
      <w:r>
        <w:t xml:space="preserve">   lamellae    </w:t>
      </w:r>
      <w:r>
        <w:t xml:space="preserve">   lacuna    </w:t>
      </w:r>
      <w:r>
        <w:t xml:space="preserve">   osteocytes    </w:t>
      </w:r>
      <w:r>
        <w:t xml:space="preserve">   osteoclast    </w:t>
      </w:r>
      <w:r>
        <w:t xml:space="preserve">   osteoblast    </w:t>
      </w:r>
      <w:r>
        <w:t xml:space="preserve">   osteon    </w:t>
      </w:r>
      <w:r>
        <w:t xml:space="preserve">   central canal    </w:t>
      </w:r>
      <w:r>
        <w:t xml:space="preserve">   perforating canal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Skeletal System Crossword </dc:title>
  <dcterms:created xsi:type="dcterms:W3CDTF">2021-10-11T16:47:39Z</dcterms:created>
  <dcterms:modified xsi:type="dcterms:W3CDTF">2021-10-11T16:47:39Z</dcterms:modified>
</cp:coreProperties>
</file>