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uzzleTitle"/>
      </w:pPr>
      <w:r>
        <w:t xml:space="preserve">Spelling Week #20</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gridCol w:w="100"/>
      </w:tblGrid>
      <w:tr>
        <w:trPr>
          <w:trHeight w:val="300" w:hRule="atLeast"/>
        </w:trPr>
        <w:tc>
          <w:p/>
        </w:tc>
        <w:tc>
          <w:p/>
        </w:tc>
        <w:tc>
          <w:p/>
        </w:tc>
        <w:tc>
          <w:p/>
        </w:tc>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1</w:t>
            </w:r>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w:t>
            </w:r>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pPr>
              <w:pStyle w:val="CrossgridTiny"/>
            </w:pPr>
            <w:r>
              <w:t xml:space="preserve">3</w:t>
            </w:r>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p/>
        </w:tc>
        <w:tc>
          <w:tcPr>
            <w:tcBorders>
              <w:top w:val="single"/>
              <w:bottom w:val="single"/>
              <w:left w:val="single"/>
              <w:right w:val="single"/>
            </w:tcBorders>
            <w:vAlign w:val="top"/>
          </w:tcPr>
          <w:p>
            <w:pPr>
              <w:pStyle w:val="CrossgridTiny"/>
            </w:pPr>
            <w:r>
              <w:t xml:space="preserve">4</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p/>
        </w:tc>
        <w:tc>
          <w:p/>
        </w:tc>
        <w:tc>
          <w:tcPr>
            <w:tcBorders>
              <w:top w:val="single"/>
              <w:bottom w:val="single"/>
              <w:left w:val="single"/>
              <w:right w:val="single"/>
            </w:tcBorders>
            <w:vAlign w:val="top"/>
          </w:tcPr>
          <w:p>
            <w:pPr>
              <w:pStyle w:val="CrossgridTiny"/>
            </w:pPr>
            <w:r>
              <w:t xml:space="preserve">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6</w:t>
            </w:r>
          </w:p>
        </w:tc>
        <w:tc>
          <w:p/>
        </w:tc>
        <w:tc>
          <w:tcPr>
            <w:tcBorders>
              <w:top w:val="single"/>
              <w:bottom w:val="single"/>
              <w:left w:val="single"/>
              <w:right w:val="single"/>
            </w:tcBorders>
            <w:vAlign w:val="top"/>
          </w:tcPr>
          <w:p>
            <w:pPr>
              <w:pStyle w:val="CrossgridTiny"/>
            </w:pPr>
            <w:r>
              <w:t xml:space="preserve">7</w:t>
            </w:r>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pPr>
              <w:pStyle w:val="CrossgridTiny"/>
            </w:pPr>
            <w:r>
              <w:t xml:space="preserve">8</w:t>
            </w: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9</w:t>
            </w:r>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10</w:t>
            </w: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11</w:t>
            </w: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pPr>
              <w:pStyle w:val="CrossgridTiny"/>
            </w:pPr>
            <w:r>
              <w:t xml:space="preserve">12</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pPr>
              <w:pStyle w:val="CrossgridTiny"/>
            </w:pPr>
            <w:r>
              <w:t xml:space="preserve">13</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14</w:t>
            </w: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15</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tcPr>
            <w:tcBorders>
              <w:top w:val="single"/>
              <w:bottom w:val="single"/>
              <w:left w:val="single"/>
              <w:right w:val="single"/>
            </w:tcBorders>
            <w:vAlign w:val="top"/>
          </w:tcPr>
          <w:p>
            <w:pPr>
              <w:pStyle w:val="CrossgridTiny"/>
            </w:pPr>
            <w:r>
              <w:t xml:space="preserve">16</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tcPr>
            <w:tcBorders>
              <w:top w:val="single"/>
              <w:bottom w:val="single"/>
              <w:left w:val="single"/>
              <w:right w:val="single"/>
            </w:tcBorders>
            <w:vAlign w:val="top"/>
          </w:tcPr>
          <w:p/>
        </w:tc>
        <w:tc>
          <w:p/>
        </w:tc>
        <w:tc>
          <w:p/>
        </w:tc>
        <w:tc>
          <w:p/>
        </w:tc>
        <w:tc>
          <w:tcPr>
            <w:tcBorders>
              <w:top w:val="single"/>
              <w:bottom w:val="single"/>
              <w:left w:val="single"/>
              <w:right w:val="single"/>
            </w:tcBorders>
            <w:vAlign w:val="top"/>
          </w:tcPr>
          <w:p>
            <w:pPr>
              <w:pStyle w:val="CrossgridTiny"/>
            </w:pPr>
            <w:r>
              <w:t xml:space="preserve">17</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r>
      <w:tr>
        <w:trPr>
          <w:trHeight w:val="300" w:hRule="atLeast"/>
        </w:trPr>
        <w:tc>
          <w:p/>
        </w:tc>
        <w:tc>
          <w:p/>
        </w:tc>
        <w:tc>
          <w:p/>
        </w:tc>
        <w:tc>
          <w:p/>
        </w:tc>
        <w:tc>
          <w:p/>
        </w:tc>
        <w:tc>
          <w:p/>
        </w:tc>
        <w:tc>
          <w:p/>
        </w:tc>
        <w:tc>
          <w:tcPr>
            <w:tcBorders>
              <w:top w:val="single"/>
              <w:bottom w:val="single"/>
              <w:left w:val="single"/>
              <w:right w:val="single"/>
            </w:tcBorders>
            <w:vAlign w:val="top"/>
          </w:tcPr>
          <w:p/>
        </w:tc>
        <w:tc>
          <w:tcPr>
            <w:tcBorders>
              <w:top w:val="single"/>
              <w:bottom w:val="single"/>
              <w:left w:val="single"/>
              <w:right w:val="single"/>
            </w:tcBorders>
            <w:shd w:fill="aaaaaa" w:val="solid" w:color="auto"/>
          </w:tcPr>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tcPr>
            <w:tcBorders>
              <w:top w:val="single"/>
              <w:bottom w:val="single"/>
              <w:left w:val="single"/>
              <w:right w:val="single"/>
            </w:tcBorders>
            <w:vAlign w:val="top"/>
          </w:tcPr>
          <w:p>
            <w:pPr>
              <w:pStyle w:val="CrossgridTiny"/>
            </w:pPr>
            <w:r>
              <w:t xml:space="preserve">18</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c>
          <w:tcPr>
            <w:tcBorders>
              <w:top w:val="single"/>
              <w:bottom w:val="single"/>
              <w:left w:val="single"/>
              <w:right w:val="single"/>
            </w:tcBorders>
            <w:vAlign w:val="top"/>
          </w:tcPr>
          <w:p/>
        </w:tc>
        <w:tc>
          <w:p/>
        </w:tc>
        <w:tc>
          <w:p/>
        </w:tc>
        <w:tc>
          <w:p/>
        </w:tc>
        <w:tc>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tcPr>
            <w:tcBorders>
              <w:top w:val="single"/>
              <w:bottom w:val="single"/>
              <w:left w:val="single"/>
              <w:right w:val="single"/>
            </w:tcBorders>
            <w:vAlign w:val="top"/>
          </w:tcPr>
          <w:p/>
        </w:tc>
        <w:tc>
          <w:p/>
        </w:tc>
        <w:tc>
          <w:tcPr>
            <w:tcBorders>
              <w:top w:val="single"/>
              <w:bottom w:val="single"/>
              <w:left w:val="single"/>
              <w:right w:val="single"/>
            </w:tcBorders>
            <w:vAlign w:val="top"/>
          </w:tcPr>
          <w:p>
            <w:pPr>
              <w:pStyle w:val="CrossgridTiny"/>
            </w:pPr>
            <w:r>
              <w:t xml:space="preserve">19</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r>
      <w:tr>
        <w:trPr>
          <w:trHeight w:val="300" w:hRule="atLeast"/>
        </w:trPr>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c>
          <w:p/>
        </w:tc>
      </w:tr>
      <w:tr>
        <w:trPr>
          <w:trHeight w:val="300" w:hRule="atLeast"/>
        </w:trPr>
        <w:tc>
          <w:p/>
        </w:tc>
        <w:tc>
          <w:p/>
        </w:tc>
        <w:tc>
          <w:p/>
        </w:tc>
        <w:tc>
          <w:p/>
        </w:tc>
        <w:tc>
          <w:p/>
        </w:tc>
        <w:tc>
          <w:p/>
        </w:tc>
        <w:tc>
          <w:p/>
        </w:tc>
        <w:tc>
          <w:p/>
        </w:tc>
        <w:tc>
          <w:p/>
        </w:tc>
        <w:tc>
          <w:tcPr>
            <w:tcBorders>
              <w:top w:val="single"/>
              <w:bottom w:val="single"/>
              <w:left w:val="single"/>
              <w:right w:val="single"/>
            </w:tcBorders>
            <w:vAlign w:val="top"/>
          </w:tcPr>
          <w:p>
            <w:pPr>
              <w:pStyle w:val="CrossgridTiny"/>
            </w:pPr>
            <w:r>
              <w:t xml:space="preserve">20</w:t>
            </w: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tcPr>
            <w:tcBorders>
              <w:top w:val="single"/>
              <w:bottom w:val="single"/>
              <w:left w:val="single"/>
              <w:right w:val="single"/>
            </w:tcBorders>
            <w:vAlign w:val="top"/>
          </w:tcPr>
          <w:p/>
        </w:tc>
        <w:tc>
          <w:p/>
        </w:tc>
        <w:tc>
          <w:p/>
        </w:tc>
        <w:tc>
          <w:p/>
        </w:tc>
        <w:tc>
          <w:p/>
        </w:tc>
        <w:tc>
          <w:p/>
        </w:tc>
        <w:tc>
          <w:p/>
        </w:tc>
        <w:tc>
          <w:p/>
        </w:tc>
        <w:tc>
          <w:p/>
        </w:tc>
        <w:tc>
          <w:p/>
        </w:tc>
        <w:tc>
          <w:p/>
        </w:tc>
      </w:tr>
    </w:tbl>
    <w:p>
      <w:pPr>
        <w:pStyle w:val="CluesTiny"/>
      </w:pPr>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100"/>
        <w:gridCol w:w="100"/>
      </w:tblGrid>
      <w:tr>
        <w:tc>
          <w:p>
            <w:pPr>
              <w:pStyle w:val="CluesTiny"/>
            </w:pPr>
            <w:r>
              <w:rPr>
                <w:b w:val="true"/>
                <w:bCs w:val="true"/>
              </w:rPr>
              <w:t xml:space="preserve">Across</w:t>
            </w:r>
          </w:p>
          <w:p>
            <w:pPr>
              <w:keepLines/>
              <w:pStyle w:val="CluesTiny"/>
            </w:pPr>
            <w:r>
              <w:rPr>
                <w:b w:val="true"/>
                <w:bCs w:val="true"/>
              </w:rPr>
              <w:t xml:space="preserve">4. </w:t>
            </w:r>
            <w:r>
              <w:t xml:space="preserve">an act that confirms, validates or asserts something as true : a positive assertion.</w:t>
            </w:r>
          </w:p>
          <w:p>
            <w:pPr>
              <w:keepLines/>
              <w:pStyle w:val="CluesTiny"/>
            </w:pPr>
            <w:r>
              <w:rPr>
                <w:b w:val="true"/>
                <w:bCs w:val="true"/>
              </w:rPr>
              <w:t xml:space="preserve">5. </w:t>
            </w:r>
            <w:r>
              <w:t xml:space="preserve">a sensation of stomach discomfort usually associated with an urge to retch or vomit.</w:t>
            </w:r>
          </w:p>
          <w:p>
            <w:pPr>
              <w:keepLines/>
              <w:pStyle w:val="CluesTiny"/>
            </w:pPr>
            <w:r>
              <w:rPr>
                <w:b w:val="true"/>
                <w:bCs w:val="true"/>
              </w:rPr>
              <w:t xml:space="preserve">12. </w:t>
            </w:r>
            <w:r>
              <w:t xml:space="preserve">city in southeastern Virginia south of Norfolk.</w:t>
            </w:r>
          </w:p>
          <w:p>
            <w:pPr>
              <w:keepLines/>
              <w:pStyle w:val="CluesTiny"/>
            </w:pPr>
            <w:r>
              <w:rPr>
                <w:b w:val="true"/>
                <w:bCs w:val="true"/>
              </w:rPr>
              <w:t xml:space="preserve">13. </w:t>
            </w:r>
            <w:r>
              <w:t xml:space="preserve">the quality or state of having or showing a tendency to react aggressively to any real or imagined criticism.</w:t>
            </w:r>
          </w:p>
          <w:p>
            <w:pPr>
              <w:keepLines/>
              <w:pStyle w:val="CluesTiny"/>
            </w:pPr>
            <w:r>
              <w:rPr>
                <w:b w:val="true"/>
                <w:bCs w:val="true"/>
              </w:rPr>
              <w:t xml:space="preserve">15. </w:t>
            </w:r>
            <w:r>
              <w:t xml:space="preserve">plant life or total plant cover (as of an area, forest or prairie).</w:t>
            </w:r>
          </w:p>
          <w:p>
            <w:pPr>
              <w:keepLines/>
              <w:pStyle w:val="CluesTiny"/>
            </w:pPr>
            <w:r>
              <w:rPr>
                <w:b w:val="true"/>
                <w:bCs w:val="true"/>
              </w:rPr>
              <w:t xml:space="preserve">16. </w:t>
            </w:r>
            <w:r>
              <w:t xml:space="preserve">a violation by failure to follow, observe or obey.</w:t>
            </w:r>
          </w:p>
          <w:p>
            <w:pPr>
              <w:keepLines/>
              <w:pStyle w:val="CluesTiny"/>
            </w:pPr>
            <w:r>
              <w:rPr>
                <w:b w:val="true"/>
                <w:bCs w:val="true"/>
              </w:rPr>
              <w:t xml:space="preserve">17. </w:t>
            </w:r>
            <w:r>
              <w:t xml:space="preserve">assigned, designated or set apart by authority.</w:t>
            </w:r>
          </w:p>
          <w:p>
            <w:pPr>
              <w:keepLines/>
              <w:pStyle w:val="CluesTiny"/>
            </w:pPr>
            <w:r>
              <w:rPr>
                <w:b w:val="true"/>
                <w:bCs w:val="true"/>
              </w:rPr>
              <w:t xml:space="preserve">18. </w:t>
            </w:r>
            <w:r>
              <w:t xml:space="preserve">a branch of mathematics that deals with the measurement, properties, and relationships of points, lines, angles, surfaces and solids.</w:t>
            </w:r>
          </w:p>
          <w:p>
            <w:pPr>
              <w:keepLines/>
              <w:pStyle w:val="CluesTiny"/>
            </w:pPr>
            <w:r>
              <w:rPr>
                <w:b w:val="true"/>
                <w:bCs w:val="true"/>
              </w:rPr>
              <w:t xml:space="preserve">19. </w:t>
            </w:r>
            <w:r>
              <w:t xml:space="preserve">dealing with the treatment of offenders through a program involving custody, parole and probation.</w:t>
            </w:r>
          </w:p>
          <w:p>
            <w:pPr>
              <w:keepLines/>
              <w:pStyle w:val="CluesTiny"/>
            </w:pPr>
            <w:r>
              <w:rPr>
                <w:b w:val="true"/>
                <w:bCs w:val="true"/>
              </w:rPr>
              <w:t xml:space="preserve">20. </w:t>
            </w:r>
            <w:r>
              <w:t xml:space="preserve">the separation of a group of people based on their race, class, or ethnic group by such means as restricting where they live, the people with whom they interact, and which schools they can attend.</w:t>
            </w:r>
          </w:p>
        </w:tc>
        <w:tc>
          <w:p>
            <w:pPr>
              <w:pStyle w:val="CluesTiny"/>
            </w:pPr>
            <w:r>
              <w:rPr>
                <w:b w:val="true"/>
                <w:bCs w:val="true"/>
              </w:rPr>
              <w:t xml:space="preserve">Down</w:t>
            </w:r>
          </w:p>
          <w:p>
            <w:pPr>
              <w:keepLines/>
              <w:pStyle w:val="CluesTiny"/>
            </w:pPr>
            <w:r>
              <w:rPr>
                <w:b w:val="true"/>
                <w:bCs w:val="true"/>
              </w:rPr>
              <w:t xml:space="preserve">1. </w:t>
            </w:r>
            <w:r>
              <w:t xml:space="preserve">of or relating to the ocean extending from western North America and western South America to eastern Asia and Australia.</w:t>
            </w:r>
          </w:p>
          <w:p>
            <w:pPr>
              <w:keepLines/>
              <w:pStyle w:val="CluesTiny"/>
            </w:pPr>
            <w:r>
              <w:rPr>
                <w:b w:val="true"/>
                <w:bCs w:val="true"/>
              </w:rPr>
              <w:t xml:space="preserve">2. </w:t>
            </w:r>
            <w:r>
              <w:t xml:space="preserve">of or relating to the earth's atmosphere and beyond, to vehicles used in that region or the manufacture of such vehicles, or to travel in that region.</w:t>
            </w:r>
          </w:p>
          <w:p>
            <w:pPr>
              <w:keepLines/>
              <w:pStyle w:val="CluesTiny"/>
            </w:pPr>
            <w:r>
              <w:rPr>
                <w:b w:val="true"/>
                <w:bCs w:val="true"/>
              </w:rPr>
              <w:t xml:space="preserve">3. </w:t>
            </w:r>
            <w:r>
              <w:t xml:space="preserve">performance of executive duties : management.</w:t>
            </w:r>
          </w:p>
          <w:p>
            <w:pPr>
              <w:keepLines/>
              <w:pStyle w:val="CluesTiny"/>
            </w:pPr>
            <w:r>
              <w:rPr>
                <w:b w:val="true"/>
                <w:bCs w:val="true"/>
              </w:rPr>
              <w:t xml:space="preserve">6. </w:t>
            </w:r>
            <w:r>
              <w:t xml:space="preserve">a method of transforming a text in order to conceal its meaning by substituting or rearranging letters.</w:t>
            </w:r>
          </w:p>
          <w:p>
            <w:pPr>
              <w:keepLines/>
              <w:pStyle w:val="CluesTiny"/>
            </w:pPr>
            <w:r>
              <w:rPr>
                <w:b w:val="true"/>
                <w:bCs w:val="true"/>
              </w:rPr>
              <w:t xml:space="preserve">7. </w:t>
            </w:r>
            <w:r>
              <w:t xml:space="preserve">done, occurring or acting without any perceptible duration of time.</w:t>
            </w:r>
          </w:p>
          <w:p>
            <w:pPr>
              <w:keepLines/>
              <w:pStyle w:val="CluesTiny"/>
            </w:pPr>
            <w:r>
              <w:rPr>
                <w:b w:val="true"/>
                <w:bCs w:val="true"/>
              </w:rPr>
              <w:t xml:space="preserve">8. </w:t>
            </w:r>
            <w:r>
              <w:t xml:space="preserve">one right after the other often with small intervening intervals.</w:t>
            </w:r>
          </w:p>
          <w:p>
            <w:pPr>
              <w:keepLines/>
              <w:pStyle w:val="CluesTiny"/>
            </w:pPr>
            <w:r>
              <w:rPr>
                <w:b w:val="true"/>
                <w:bCs w:val="true"/>
              </w:rPr>
              <w:t xml:space="preserve">9. </w:t>
            </w:r>
            <w:r>
              <w:t xml:space="preserve">an organism that typically feeds on refuse or carrion.</w:t>
            </w:r>
          </w:p>
          <w:p>
            <w:pPr>
              <w:keepLines/>
              <w:pStyle w:val="CluesTiny"/>
            </w:pPr>
            <w:r>
              <w:rPr>
                <w:b w:val="true"/>
                <w:bCs w:val="true"/>
              </w:rPr>
              <w:t xml:space="preserve">10. </w:t>
            </w:r>
            <w:r>
              <w:t xml:space="preserve">ornamental electric light fixtures for a wall that look like bracket candlesticks or groups of candlesticks.</w:t>
            </w:r>
          </w:p>
          <w:p>
            <w:pPr>
              <w:keepLines/>
              <w:pStyle w:val="CluesTiny"/>
            </w:pPr>
            <w:r>
              <w:rPr>
                <w:b w:val="true"/>
                <w:bCs w:val="true"/>
              </w:rPr>
              <w:t xml:space="preserve">11. </w:t>
            </w:r>
            <w:r>
              <w:t xml:space="preserve">people who govern kingdoms when the sovereigns are not able to govern because they are too young or ill or are away.</w:t>
            </w:r>
          </w:p>
          <w:p>
            <w:pPr>
              <w:keepLines/>
              <w:pStyle w:val="CluesTiny"/>
            </w:pPr>
            <w:r>
              <w:rPr>
                <w:b w:val="true"/>
                <w:bCs w:val="true"/>
              </w:rPr>
              <w:t xml:space="preserve">14. </w:t>
            </w:r>
            <w:r>
              <w:t xml:space="preserve">one of a race of giants in Greek mythology with a single eye in the middle of the forehead.</w:t>
            </w:r>
          </w:p>
        </w:tc>
      </w:tr>
    </w:tbl>
    <w:p>
      <w:pPr>
        <w:pStyle w:val="WordBankLarge"/>
      </w:pPr>
      <w:r>
        <w:t xml:space="preserve">   appointed    </w:t>
      </w:r>
      <w:r>
        <w:t xml:space="preserve">   regents    </w:t>
      </w:r>
      <w:r>
        <w:t xml:space="preserve">   infraction    </w:t>
      </w:r>
      <w:r>
        <w:t xml:space="preserve">   Pacific    </w:t>
      </w:r>
      <w:r>
        <w:t xml:space="preserve">   affirmation    </w:t>
      </w:r>
      <w:r>
        <w:t xml:space="preserve">   cypher    </w:t>
      </w:r>
      <w:r>
        <w:t xml:space="preserve">   administration    </w:t>
      </w:r>
      <w:r>
        <w:t xml:space="preserve">   geometry    </w:t>
      </w:r>
      <w:r>
        <w:t xml:space="preserve">   consecutive    </w:t>
      </w:r>
      <w:r>
        <w:t xml:space="preserve">   scavenger    </w:t>
      </w:r>
      <w:r>
        <w:t xml:space="preserve">   defensiveness    </w:t>
      </w:r>
      <w:r>
        <w:t xml:space="preserve">   vegetation    </w:t>
      </w:r>
      <w:r>
        <w:t xml:space="preserve">   sconces    </w:t>
      </w:r>
      <w:r>
        <w:t xml:space="preserve">   Cyclops    </w:t>
      </w:r>
      <w:r>
        <w:t xml:space="preserve">   aerospace    </w:t>
      </w:r>
      <w:r>
        <w:t xml:space="preserve">   correctional    </w:t>
      </w:r>
      <w:r>
        <w:t xml:space="preserve">   segregation    </w:t>
      </w:r>
      <w:r>
        <w:t xml:space="preserve">   instantaneous    </w:t>
      </w:r>
      <w:r>
        <w:t xml:space="preserve">   nausea    </w:t>
      </w:r>
      <w:r>
        <w:t xml:space="preserve">   Chesapeake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styleId="Header">
    <w:name w:val="header"/>
    <w:basedOn w:val="Normal"/>
    <w:link w:val="HeaderChar"/>
    <w:uiPriority w:val="99"/>
    <w:unhideWhenUsed/>
    <w:rsid w:val="00F503DF"/>
    <w:pPr>
      <w:tabs>
        <w:tab w:val="center" w:pos="4680"/>
        <w:tab w:val="right" w:pos="9360"/>
      </w:tabs>
    </w:pPr>
  </w:style>
  <w:style w:type="character" w:customStyle="1" w:styleId="HeaderChar">
    <w:name w:val="Header Char"/>
    <w:basedOn w:val="DefaultParagraphFont"/>
    <w:link w:val="Header"/>
    <w:uiPriority w:val="99"/>
    <w:rsid w:val="00F503DF"/>
  </w:style>
  <w:style w:type="paragraph" w:styleId="Footer">
    <w:name w:val="footer"/>
    <w:basedOn w:val="Normal"/>
    <w:link w:val="FooterChar"/>
    <w:uiPriority w:val="99"/>
    <w:unhideWhenUsed/>
    <w:rsid w:val="00F503DF"/>
    <w:pPr>
      <w:tabs>
        <w:tab w:val="center" w:pos="4680"/>
        <w:tab w:val="right" w:pos="9360"/>
      </w:tabs>
    </w:pPr>
  </w:style>
  <w:style w:type="character" w:customStyle="1" w:styleId="FooterChar">
    <w:name w:val="Footer Char"/>
    <w:basedOn w:val="DefaultParagraphFont"/>
    <w:link w:val="Footer"/>
    <w:uiPriority w:val="99"/>
    <w:rsid w:val="00F503DF"/>
  </w:style>
  <w:style w:type="paragraph" w:customStyle="1" w:styleId="CrossgridAnswerLarge">
    <w:name w:val="CrossgridAnswerLarge"/>
    <w:basedOn w:val="Normal"/>
    <w:qFormat/>
    <w:rsid w:val="00F503DF"/>
    <w:pPr>
      <w:jc w:val="center"/>
    </w:pPr>
    <w:rPr>
      <w:sz w:val="32"/>
    </w:rPr>
  </w:style>
  <w:style w:type="paragraph" w:customStyle="1" w:styleId="CrossgridAnswerTiny">
    <w:name w:val="CrossgridAnswerTiny"/>
    <w:basedOn w:val="Normal"/>
    <w:qFormat/>
    <w:rsid w:val="003B1CF4"/>
    <w:pPr>
      <w:jc w:val="center"/>
    </w:pPr>
    <w:rPr>
      <w:sz w:val="1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Spelling Week #20</dc:title>
  <dcterms:created xsi:type="dcterms:W3CDTF">2021-10-11T17:37:23Z</dcterms:created>
  <dcterms:modified xsi:type="dcterms:W3CDTF">2021-10-11T17:37:23Z</dcterms:modified>
</cp:coreProperties>
</file>