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Veterinary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Vethical    </w:t>
      </w:r>
      <w:r>
        <w:t xml:space="preserve">   Socretes    </w:t>
      </w:r>
      <w:r>
        <w:t xml:space="preserve">   client experience    </w:t>
      </w:r>
      <w:r>
        <w:t xml:space="preserve">   feline    </w:t>
      </w:r>
      <w:r>
        <w:t xml:space="preserve">   canine    </w:t>
      </w:r>
      <w:r>
        <w:t xml:space="preserve">   education    </w:t>
      </w:r>
      <w:r>
        <w:t xml:space="preserve">   medical director    </w:t>
      </w:r>
      <w:r>
        <w:t xml:space="preserve">   woof    </w:t>
      </w:r>
      <w:r>
        <w:t xml:space="preserve">   hospital    </w:t>
      </w:r>
      <w:r>
        <w:t xml:space="preserve">   rabies    </w:t>
      </w:r>
      <w:r>
        <w:t xml:space="preserve">   parvo    </w:t>
      </w:r>
      <w:r>
        <w:t xml:space="preserve">   vaccinations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Veterinary Terms</dc:title>
  <dcterms:created xsi:type="dcterms:W3CDTF">2021-10-11T20:50:31Z</dcterms:created>
  <dcterms:modified xsi:type="dcterms:W3CDTF">2021-10-11T20:50:31Z</dcterms:modified>
</cp:coreProperties>
</file>