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comunidades autónomas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la rioja    </w:t>
      </w:r>
      <w:r>
        <w:t xml:space="preserve">   andalucia    </w:t>
      </w:r>
      <w:r>
        <w:t xml:space="preserve">   murcia    </w:t>
      </w:r>
      <w:r>
        <w:t xml:space="preserve">   pais vasco    </w:t>
      </w:r>
      <w:r>
        <w:t xml:space="preserve">   aragón    </w:t>
      </w:r>
      <w:r>
        <w:t xml:space="preserve">   cataluña    </w:t>
      </w:r>
      <w:r>
        <w:t xml:space="preserve">   castilla la mancha    </w:t>
      </w:r>
      <w:r>
        <w:t xml:space="preserve">   castilla y leon    </w:t>
      </w:r>
      <w:r>
        <w:t xml:space="preserve">   galicia    </w:t>
      </w:r>
      <w:r>
        <w:t xml:space="preserve">   asturias    </w:t>
      </w:r>
      <w:r>
        <w:t xml:space="preserve">   principado de asturias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comunidades autónomas</dc:title>
  <dcterms:created xsi:type="dcterms:W3CDTF">2021-10-11T04:31:51Z</dcterms:created>
  <dcterms:modified xsi:type="dcterms:W3CDTF">2021-10-11T04:31:51Z</dcterms:modified>
</cp:coreProperties>
</file>